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B3" w:rsidRPr="00A12F34" w:rsidRDefault="00A12F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геометрии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:rsidR="00AB64B3" w:rsidRPr="00A12F34" w:rsidRDefault="00A12F3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A12F34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«Геометрия»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Озерновская СОШ № 3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B64B3" w:rsidRPr="00A12F34" w:rsidRDefault="00A12F3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370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утвержденн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AB64B3" w:rsidRPr="00A12F34" w:rsidRDefault="00A12F3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санитарног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AB64B3" w:rsidRPr="00A12F34" w:rsidRDefault="00A12F3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24.12.2013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2506-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2F34" w:rsidRPr="00A12F34" w:rsidRDefault="00A12F34" w:rsidP="00A12F34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 МАОУ Озерновская СОШ № 3 на 2023-2028гг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«Геометрия»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«Математика»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сформули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рованные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разделов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имеющий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размеров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вза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имное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расположение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опирается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логическую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доказательную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линию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заключается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учится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доказательные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умозаключения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доказывать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истинные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ложным</w:t>
      </w:r>
      <w:proofErr w:type="gramEnd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«от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противного»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отличать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обратные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мате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матических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встречающихся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научиться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геометрическую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фигуру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описать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чертеж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рисунок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найти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земельного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рассчитать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длину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оптоволоконного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абеля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требуемые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размеры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гаража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автомобиля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Этому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вторая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вычислительная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линия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практического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учится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вычи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сления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адекватность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Крайне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важно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подчеркивать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мотивировать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ехнике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ярко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видны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темах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«Векторы»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«Тригонометрические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соотношения»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«Метод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координат»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«Теорема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Пифагора»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«Геометрия»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разделы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«Геометрические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свойства»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«Измерение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ометрических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величин»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«Декартовы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координаты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плоскости»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«Векторы»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«Движения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плоскости»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«Преобразования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подобия»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‌На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«Геометрия»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204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7-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68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(2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8-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68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(2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68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(2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21.09.2022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858:</w:t>
      </w:r>
    </w:p>
    <w:p w:rsidR="00AB64B3" w:rsidRPr="00A12F34" w:rsidRDefault="00A12F3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, 7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proofErr w:type="spellStart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Атанасян</w:t>
      </w:r>
      <w:proofErr w:type="spellEnd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Бутузов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Кадомцев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Акционерное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«Просвещение»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Default="00A12F3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02.08.2022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653:</w:t>
      </w:r>
    </w:p>
    <w:p w:rsidR="00AB64B3" w:rsidRPr="00A12F34" w:rsidRDefault="00A12F3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7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,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,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ресурс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«Домашние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Геометрия»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, 7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Издательство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«Просвещение»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Default="00A12F3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AB64B3" w:rsidRDefault="00A12F3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учебного предмета</w:t>
      </w:r>
    </w:p>
    <w:p w:rsidR="00AB64B3" w:rsidRDefault="00A12F3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Начальные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Точка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прямая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отрезок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луч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Угол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Вертикальные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смежные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Биссектриса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Ломаная</w:t>
      </w:r>
      <w:proofErr w:type="gramEnd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многоугольник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Параллельность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перпендикулярность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proofErr w:type="gramEnd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Симметричные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осевой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симметрии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симметрии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окружающем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циркуля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линейки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Высота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медиана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биссектриса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Равнобедренный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равносторонний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Неравенство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равнобедренного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равенства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параллельных</w:t>
      </w:r>
      <w:proofErr w:type="gramEnd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Внешние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Прям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оугольный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Свойство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медианы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прямоугольного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проведенной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гипотенузе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равенства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прямоугольных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Прямоугольный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углом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Неравенства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неравенство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неравенство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длине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оманой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теорема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большем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большей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стороне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Перпендикуляр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наклонная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Геометрическое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точек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Биссектриса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серединный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перпендикуляр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отрезку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геометрические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точек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Окружность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круг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хорда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диаметр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Вза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имное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расположение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Касательная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секущая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Окружность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вписанная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угол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Вписанная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описанная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A12F34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Четырехугольники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Параллелограмм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Частные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параллелограммов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рямоугольник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ромб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квадрат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Трапеция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равнобокая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трапеция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Прямоугольная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трапеция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удвоения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медианы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Центральная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симметрия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Теорема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Фалеса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теорема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пропорциональных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отрезках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Средние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ника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трапеции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масс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Подобие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подобия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подобия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подобия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площадей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параллелограм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ромба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трапеции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площадей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подобных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Вычисление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площадей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многоугольников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клетчатой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бумаге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Теорема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Пифагора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теоремы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Пифагора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Синус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косинус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тангенс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острого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прямоугольного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тригонометрическое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тождество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Тригонометрические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, 45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60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Вписанные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центральные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угол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касательной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хордой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хордами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секущими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Вписанные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описанные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четырехугольники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Вза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имное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расположение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окружностей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Касание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окружностей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касательные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двум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окружностям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A12F34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Синус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косинус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тангенс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180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тригонометрическое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тождество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приведения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Теорема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косинусов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тео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рема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синусов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теоремы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косинусов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теоремы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синусов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Преобразование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подобия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Подобие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соответственных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Теорема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отрезков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хорд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теоремы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отрезков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секущих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теорема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квадрате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каса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тельной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Вектор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модуль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вектора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сонаправленные</w:t>
      </w:r>
      <w:proofErr w:type="spellEnd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векторы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противоположно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векторы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коллинеарность</w:t>
      </w:r>
      <w:proofErr w:type="spellEnd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векторов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равенство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векторов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векторами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Разложение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вектора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двум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неколлинеарным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векторам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Координаты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вектора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Скалярное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изведение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векторов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длин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Декартовы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координаты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координатах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пересечение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окружностей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координат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Правильные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многоугольники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Гра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дусная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радианная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мера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вычисление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длин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дуг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окружностей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круга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сектора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сегмента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симметрии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элементарные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перенос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Поворот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A12F34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AB64B3" w:rsidRPr="00A12F34" w:rsidRDefault="00A12F34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A12F34">
        <w:rPr>
          <w:b/>
          <w:bCs/>
          <w:color w:val="252525"/>
          <w:spacing w:val="-2"/>
          <w:sz w:val="42"/>
          <w:szCs w:val="42"/>
          <w:lang w:val="ru-RU"/>
        </w:rPr>
        <w:t>Личностн</w:t>
      </w:r>
      <w:r w:rsidRPr="00A12F34">
        <w:rPr>
          <w:b/>
          <w:bCs/>
          <w:color w:val="252525"/>
          <w:spacing w:val="-2"/>
          <w:sz w:val="42"/>
          <w:szCs w:val="42"/>
          <w:lang w:val="ru-RU"/>
        </w:rPr>
        <w:t>ые результаты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«Геометрия»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характеризуются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1)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патриотическое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проявлением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прошлому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ценностным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отношением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математиков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науках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прикладных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2)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гражданское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нравственное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представлением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математически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структур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выборы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опросы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обсуждению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практическим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морально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нципов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ученого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3)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трудовое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установкой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деятель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развитием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осознанным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выбором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построением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4)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эстетическое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способностью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эмоциональному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эстетическому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восприятию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рассуждений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умению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видеть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искусстве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5)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научного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познания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ориентацией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современную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звития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цивилизации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овладением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средством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овладен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простейшими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6)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физическое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формирование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эмоционального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благополучия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здоров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сбалансированный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регулярная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физическая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навыка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признанием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7)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экологическое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ориентацией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8)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адаптация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изменяю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щимся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условиям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социальной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природной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действиям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неопределенности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приобретать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необходимостью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неизвестных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дефициты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компетентностей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пла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нировать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способностью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вызов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требующий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контрмер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принимаемые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A12F34">
        <w:rPr>
          <w:b/>
          <w:bCs/>
          <w:color w:val="252525"/>
          <w:spacing w:val="-2"/>
          <w:sz w:val="42"/>
          <w:szCs w:val="42"/>
          <w:lang w:val="ru-RU"/>
        </w:rPr>
        <w:t>Метапредмет</w:t>
      </w:r>
      <w:r w:rsidRPr="00A12F34">
        <w:rPr>
          <w:b/>
          <w:bCs/>
          <w:color w:val="252525"/>
          <w:spacing w:val="-2"/>
          <w:sz w:val="42"/>
          <w:szCs w:val="42"/>
          <w:lang w:val="ru-RU"/>
        </w:rPr>
        <w:t>ные</w:t>
      </w:r>
      <w:proofErr w:type="spellEnd"/>
      <w:r w:rsidRPr="00A12F34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AB64B3" w:rsidRDefault="00A12F3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B64B3" w:rsidRPr="00A12F34" w:rsidRDefault="00A12F3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существ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енный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проводимого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утвердительные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отрицательные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единичные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частные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условные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закономерн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наблюдениях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утверждениях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противоречий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логики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дедуктивных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индуктивных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аналог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разбирать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доказательства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утверждений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прямые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противного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доказательства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выстраивать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аргументацию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выб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ирать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B64B3" w:rsidRDefault="00A12F3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B64B3" w:rsidRPr="00A12F34" w:rsidRDefault="00A12F3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фор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мулировать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фиксирующие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противоречие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проблему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искомое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составленному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несложный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небольшое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самостоятельно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обобще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Default="00A12F3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B64B3" w:rsidRPr="00A12F34" w:rsidRDefault="00A12F3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недостаточность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избыточность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схемами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диаграммами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графикой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комбинациями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критери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Default="00A12F3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B64B3" w:rsidRPr="00A12F34" w:rsidRDefault="00A12F3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ясно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точно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грамотно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сьменных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пояснения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ходу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комментировать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полученный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решаемой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нацеленные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суж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суждениями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корректной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разногласия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возражения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ат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командной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мозговые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штурмы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координиров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Самоорганизация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AB64B3" w:rsidRPr="00A12F34" w:rsidRDefault="00A12F34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ешения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Default="00A12F3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Самоконтроль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эмоциональный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B64B3" w:rsidRPr="00A12F34" w:rsidRDefault="00A12F3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самопроверк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найденных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4B3" w:rsidRPr="00A12F34" w:rsidRDefault="00A12F34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соот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ветствие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приобретенному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A12F34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7-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7-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получит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геометрические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взаимное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расположение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изображать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геометрические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чертежи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условию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Измерять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линейные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угловые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ачи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вычисление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длин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отрезков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грубую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линейных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угловых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размеров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размеры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чертежи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геометрическим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задачам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Пользов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аться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признаками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равенства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равнобедренных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proofErr w:type="gramEnd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теорем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признаками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равенства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прямоугольных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свойством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медианы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проведенной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гипотенузе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прямоугольного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параллельность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образует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секущая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параллельность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равенства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расстояний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точек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точек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клетчатой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бумаге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числовые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буквенные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задачах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многоугольников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ванных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пересечении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параллельных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секущей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Владеть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понятием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геометрического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точек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биссектрису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серединный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перпендикуляр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отрезку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геометрические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точек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рмулировать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круга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хорды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диаметра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свойствами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понятием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описанной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около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фактами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proofErr w:type="gramEnd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биссектрисы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пересекаются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точке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серединные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перпендикуляры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сторонам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пересекаются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точке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понятием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касательной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теоремой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перпендикулярности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касательной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радиуса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точке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касания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простейшими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геометрическими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неравенствами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практический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геометрические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циркуля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линейки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8-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получит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четырехугольников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свойствами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пересечения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медиан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масс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адач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понятием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трапеции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теоремой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Фалеса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теоремой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пропорциональных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отрезках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подоб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теоремой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Пифагора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математическую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задачах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чертеж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нятиями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синуса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косинуса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тангенса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острого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прямоугольного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этими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Вычислять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многоугольных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пользуясь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кальк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улятором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задачах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вписанного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центрального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теоремы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вписанных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углах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углах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хордами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секущими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касательной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хордой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Владеть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понятием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описанного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четырехугольника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описанного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четырехугольника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примен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ением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подобия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тригонометрии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пользуясь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калькулятором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9-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получит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тригонометрические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острых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рямоугольного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«решение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прямоугольных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треугольников»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калькулятора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нетабличных</w:t>
      </w:r>
      <w:proofErr w:type="spellEnd"/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формулами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приведения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тригонометрическим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тождеством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соотношений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тригоно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метрическими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величинами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теоремы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синусов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косинусов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«решение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треугольников»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подобия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соответственных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подобных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свойствами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подобия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произвольных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вычислять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подобных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подобия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задачах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подобных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окружающем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теоремами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отрезков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хорд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отрезков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секущих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квадрате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касательной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векторами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геометрический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физический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скалярное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векторо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длин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координат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правильного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многоугольника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дуги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радианной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вычи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слять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круга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задачах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оси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центры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симметрии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простейших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4B3" w:rsidRPr="00A12F34" w:rsidRDefault="00A12F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подобия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тригонометрических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пользуясь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калькулятором</w:t>
      </w:r>
      <w:r w:rsidRPr="00A12F3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B64B3" w:rsidRDefault="00A12F3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lastRenderedPageBreak/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AB64B3" w:rsidRDefault="00A12F3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4"/>
        <w:gridCol w:w="1766"/>
        <w:gridCol w:w="736"/>
        <w:gridCol w:w="1605"/>
        <w:gridCol w:w="1672"/>
        <w:gridCol w:w="3220"/>
      </w:tblGrid>
      <w:tr w:rsidR="00AB64B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Pr="00A12F34" w:rsidRDefault="00A12F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2F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A12F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A12F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A12F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A12F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A12F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B64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B6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B6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B6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64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Простейшие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геометрические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фигуры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свойства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величин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B6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B6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lesson.academy-content.myschool.edu.ru/02.3/07</w:t>
            </w:r>
          </w:p>
        </w:tc>
      </w:tr>
      <w:tr w:rsidR="00AB64B3" w:rsidRPr="00A1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Треугольники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B6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Pr="00A12F34" w:rsidRDefault="00A12F34">
            <w:pPr>
              <w:rPr>
                <w:lang w:val="ru-RU"/>
              </w:rPr>
            </w:pP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7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AB64B3" w:rsidRPr="00A1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Pr="00A12F34" w:rsidRDefault="00A12F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Параллельные</w:t>
            </w:r>
            <w:proofErr w:type="gramEnd"/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прямые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углов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B6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Pr="00A12F34" w:rsidRDefault="00A12F34">
            <w:pPr>
              <w:rPr>
                <w:lang w:val="ru-RU"/>
              </w:rPr>
            </w:pP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«Домашние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Геометрия»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7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«Просвещение»</w:t>
            </w:r>
          </w:p>
        </w:tc>
      </w:tr>
      <w:tr w:rsidR="00AB64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Pr="00A12F34" w:rsidRDefault="00A12F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Окружность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Геометрические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B6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B64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B6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B64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Pr="00A12F34" w:rsidRDefault="00A12F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B6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64B3" w:rsidRDefault="00A12F3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2"/>
        <w:gridCol w:w="2013"/>
        <w:gridCol w:w="715"/>
        <w:gridCol w:w="1554"/>
        <w:gridCol w:w="1618"/>
        <w:gridCol w:w="3111"/>
      </w:tblGrid>
      <w:tr w:rsidR="00AB64B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Pr="00A12F34" w:rsidRDefault="00A12F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2F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A12F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A12F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A12F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A12F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A12F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B64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B6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B6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Контрольны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Практически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B6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64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Четырехугольники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B6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lesson.academy-content.myschool.edu.ru/02.3/08</w:t>
            </w:r>
          </w:p>
        </w:tc>
      </w:tr>
      <w:tr w:rsidR="00AB64B3" w:rsidRPr="00A1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Pr="00A12F34" w:rsidRDefault="00A12F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Теорема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Фалеса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теорема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пропорциональных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отрезках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подобные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треугольники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B6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Pr="00A12F34" w:rsidRDefault="00A12F34">
            <w:pPr>
              <w:rPr>
                <w:lang w:val="ru-RU"/>
              </w:rPr>
            </w:pP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8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AB64B3" w:rsidRPr="00A1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Нахождение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площадей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треугольников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многоугольных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подобных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фигур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B6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Pr="00A12F34" w:rsidRDefault="00A12F34">
            <w:pPr>
              <w:rPr>
                <w:lang w:val="ru-RU"/>
              </w:rPr>
            </w:pP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«Домашние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Геометрия»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7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«Просвещение»</w:t>
            </w:r>
          </w:p>
        </w:tc>
      </w:tr>
      <w:tr w:rsidR="00AB64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Pr="00A12F34" w:rsidRDefault="00A12F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Теорема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Пифагора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тригонометрии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B6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B64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Pr="00A12F34" w:rsidRDefault="00A12F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Углы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окружности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Вписанные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описанные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четырехугольники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Касательные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окружности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Касание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B6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B64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B6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B64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Pr="00A12F34" w:rsidRDefault="00A12F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B6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64B3" w:rsidRDefault="00A12F3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1"/>
        <w:gridCol w:w="1833"/>
        <w:gridCol w:w="730"/>
        <w:gridCol w:w="1591"/>
        <w:gridCol w:w="1658"/>
        <w:gridCol w:w="3190"/>
      </w:tblGrid>
      <w:tr w:rsidR="00AB64B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Pr="00A12F34" w:rsidRDefault="00A12F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2F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Наименование</w:t>
            </w:r>
            <w:r w:rsidRPr="00A12F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A12F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A12F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A12F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программы</w:t>
            </w:r>
            <w:r w:rsidRPr="00A12F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B64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B6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B6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Контрольны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Практически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B6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64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Тригонометрия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Теоремы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косинусов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синусов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треугольников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B6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academy-content.myschool.edu.ru/02.3/09</w:t>
            </w:r>
          </w:p>
        </w:tc>
      </w:tr>
      <w:tr w:rsidR="00AB64B3" w:rsidRPr="00A1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Pr="00A12F34" w:rsidRDefault="00A12F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Преобразование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подобия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Метрические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соотношения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B6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Pr="00A12F34" w:rsidRDefault="00A12F34">
            <w:pPr>
              <w:rPr>
                <w:lang w:val="ru-RU"/>
              </w:rPr>
            </w:pP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9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AB64B3" w:rsidRPr="00A1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B6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Pr="00A12F34" w:rsidRDefault="00A12F34">
            <w:pPr>
              <w:rPr>
                <w:lang w:val="ru-RU"/>
              </w:rPr>
            </w:pP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«Домашние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Геометрия»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7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«Просвещение»</w:t>
            </w:r>
          </w:p>
        </w:tc>
      </w:tr>
      <w:tr w:rsidR="00AB64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Декартовы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плоскости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B6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B64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Правильные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многоугольники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Длина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окружности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круга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Вычисление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B6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B6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B64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плоскости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B6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B6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B64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B6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B64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Pr="00A12F34" w:rsidRDefault="00A12F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12F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4B3" w:rsidRDefault="00AB6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A12F34"/>
    <w:sectPr w:rsidR="00000000" w:rsidSect="00A12F34">
      <w:pgSz w:w="11907" w:h="16839"/>
      <w:pgMar w:top="1440" w:right="11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3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E27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D71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91D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003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A66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234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822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6701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A12F34"/>
    <w:rsid w:val="00AB64B3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1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1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3710</Words>
  <Characters>21147</Characters>
  <Application>Microsoft Office Word</Application>
  <DocSecurity>0</DocSecurity>
  <Lines>176</Lines>
  <Paragraphs>49</Paragraphs>
  <ScaleCrop>false</ScaleCrop>
  <Company/>
  <LinksUpToDate>false</LinksUpToDate>
  <CharactersWithSpaces>24808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Галина</cp:lastModifiedBy>
  <cp:revision>2</cp:revision>
  <dcterms:created xsi:type="dcterms:W3CDTF">2011-11-02T04:15:00Z</dcterms:created>
  <dcterms:modified xsi:type="dcterms:W3CDTF">2023-10-22T22:57:00Z</dcterms:modified>
</cp:coreProperties>
</file>