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BD" w:rsidRPr="001763BD" w:rsidRDefault="001763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D50ABD" w:rsidRPr="001763BD" w:rsidRDefault="001763B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63B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зовательным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оздоровлени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D50ABD" w:rsidRPr="001763BD" w:rsidRDefault="001763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тановлением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1763BD" w:rsidRDefault="001763BD" w:rsidP="001763BD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D50ABD" w:rsidRPr="001763BD" w:rsidRDefault="001763B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еральной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подавания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чебного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основанную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логике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системообразующим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поскольку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химией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биологией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астрономией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географией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ясные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достоверных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структу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компетентностями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характеризующими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0ABD" w:rsidRDefault="001763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ъяснять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0ABD" w:rsidRPr="001763BD" w:rsidRDefault="001763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изучения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фундаментальных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зможных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приоб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ретение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дискретном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квантовых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критическое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сферами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современными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техноло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основанными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238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D50ABD" w:rsidRPr="001763BD" w:rsidRDefault="001763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 7-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Перышкин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Издательство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 8-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Перышкин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 9-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Перышкин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Гутник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Петрова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Default="001763B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D50ABD" w:rsidRPr="001763BD" w:rsidRDefault="001763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адемия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Default="001763B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D50ABD" w:rsidRDefault="001763B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D50A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роль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окружающего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мира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световые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звуковые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Погрешность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Международная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изучают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световые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аналоговым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цифровым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Pr="001763BD" w:rsidRDefault="001763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шкалы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измерительного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расстояний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размеров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малых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термометра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датчика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пущенного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горизонтально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пуска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Первоначальные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доказывающие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дискретное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Броуновское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диффузия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притяжение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отталкивание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Агрегатные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агрегатных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состояниях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молекулярным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агрегатных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броуновского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диффузии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притяжением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отталкиванием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Pr="001763BD" w:rsidRDefault="001763B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диаметра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рядов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0ABD" w:rsidRPr="001763BD" w:rsidRDefault="001763B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обнаружению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молекулярного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притяжения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неравномерном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инерции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инерции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инертности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единице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динамометра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тяготения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планетах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Равнодействующая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Default="001763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прямолинейного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инерции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Pr="001763BD" w:rsidRDefault="001763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D50ABD" w:rsidRPr="001763BD" w:rsidRDefault="001763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бруска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твердого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растяжения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приложенной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соприкасающихся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Давление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твердых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жидкостей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газов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увеличения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Паскаля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Пневматические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глубины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Гидростатический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парадокс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Сообщающиеся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Гидравлические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болочки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Торричелли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Выталкивающая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архимедова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Архимеда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Воздухоплавание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Сообщающиеся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сосуды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Гидравлический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пресс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атмосферного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вытесненной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Pr="001763BD" w:rsidRDefault="001763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ареометра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лодки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грузоподъемности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мощность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рычаг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наклонная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рычага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рычага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блоку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«Золотое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правило»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КПД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энергии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горизонтальной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равновесия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рычага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наклонной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плоскости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763BD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Тепловые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лекулярно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газообразного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состояний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Кристаллические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аморфные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Смачивание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капиллярные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сжатие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теплопередача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теплопередачи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теплопроводность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конвекция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теплоемкость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Теплообмен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отвердевание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Парообразование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парообразования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кипения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топлива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еплота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двигателей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КПД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двигателя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двигатели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броуновского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диффузии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смачивания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капиллярных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теплового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расширения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нагревании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охлаждении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температуры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теплопередачи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Охлаждение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Нагревание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внешними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Сравнение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теплоемкостей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кипения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плавлении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тепловых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обнаружению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лекулярного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притяжения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выращиванию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кристаллов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поваренной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сахара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баллоне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шприца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нагревания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охлаждения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линейной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столбика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термометрической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трубке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теплопередачи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теплообмена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смешивании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теплообмене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нагретым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металлическим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цилиндром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теплоемкости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испарения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</w:t>
      </w:r>
      <w:r>
        <w:rPr>
          <w:rFonts w:hAnsi="Times New Roman" w:cs="Times New Roman"/>
          <w:color w:val="000000"/>
          <w:sz w:val="24"/>
          <w:szCs w:val="24"/>
        </w:rPr>
        <w:t>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льда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Электрические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магнитные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заряженных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Кулона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заряженных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Напряженность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качественном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Элементарный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цепь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параллельное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Джоуля–Л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енца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потребители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Короткое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Эрстеда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Фарадея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Ленца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Электрогенератор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Электростанции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возобновляемых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заряженных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электроскоп</w:t>
      </w:r>
      <w:r>
        <w:rPr>
          <w:rFonts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Электростатическая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индукция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зарядов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диэлектрики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постоянного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Газовый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разряд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амперметром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вольтметром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Реостат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магазин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сопротивлений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магнитов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полюсов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Эрстеда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Магнитное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Электромагнит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Электродвигатель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постоянного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электромагнитной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индукции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Фарадея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индукционного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Электрогенератор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постоянного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электризации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индукцией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соприкосновении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Сборка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регулирование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напряжения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резистор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резистора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резисторе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поперечного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напряжений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соединении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резисторов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параллельном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соединении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резисторов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резистор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выделяемой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резисторе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лампочку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нагревателя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разделении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стрелку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катушке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электродвигательной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индукционного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763BD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Механические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Относительность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мгновенная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неравномерном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Галилея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Линейн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угловая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Центростремительное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тяготения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космическая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Реактивное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днятого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сжатой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энергии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Сравнен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равноускоренного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«Тележка»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неупругом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упругом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реактивного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свободном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Pr="001763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тракта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разгона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тележки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бруска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нечетных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одинаковы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коэффициента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скольжения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жесткости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пружины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горизонтальной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неподвижного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подви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блоков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энергии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Механические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колебания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Колебательное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амплитуда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маятники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колебательном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Затухающие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Вынужденные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Резонанс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Продольные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поперечные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сейсмические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Звук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Громкость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Инфразвук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ультразвук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Pr="001763BD" w:rsidRDefault="001763B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резонанса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продольных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поперечных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0ABD" w:rsidRPr="001763BD" w:rsidRDefault="001763B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Акустический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резонанс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подвешенного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подвешенного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руза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жесткости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ускорения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Электромагнитное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электромагнитные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сотовой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Волновые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Default="001763B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электромагнитных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мобильного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Световые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Лучевая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Затмения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зеркало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оптических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световодах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Линза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фотоаппарата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микр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оскопа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телескопа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Близорукость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дальнозоркость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спектральных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цветов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Дисперсия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Прямолинейное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вогнутом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выпуклом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зеркалах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Преломление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световод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рассеивающей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фотоаппарата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микроскопа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телескопа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цветов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Pr="001763BD" w:rsidRDefault="001763B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зеркале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границе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«воздух–стекло»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фокусного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разложению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цветовые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фильтры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12.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Квантовые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Резерфорда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планетарная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Бора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Испускание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поглощение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Кванты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Линейчатые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диоактивность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Альф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гамма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Нуклонная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Радиоактивные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полураспада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Ядерные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звезд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Ядерная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энергетика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радиоактивных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Default="001763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Спектры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поглощения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Спектры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Спектр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водоро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камере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Вильсона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счетчика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ионизирующих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излучений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Pr="001763BD" w:rsidRDefault="001763B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минералов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50ABD" w:rsidRPr="001763BD" w:rsidRDefault="001763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сплошных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линейчатых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тормозному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фотографиям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0ABD" w:rsidRDefault="001763BD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радиоактивного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Повторительно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обобщающий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Повторительно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обобщающий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приобретенного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экзамену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выбравших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систематизируются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остижение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научная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Принципиально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ременных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63BD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предмета</w:t>
      </w:r>
    </w:p>
    <w:p w:rsidR="00D50ABD" w:rsidRPr="001763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763BD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ниям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гармоничного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точности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лаконичности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важнейшей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осознан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дорогах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дефицитов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1763BD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1763BD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ключающие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суще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50ABD" w:rsidRPr="001763BD" w:rsidRDefault="001763B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подходящего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нструменты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редставления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очку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50ABD" w:rsidRPr="001763BD" w:rsidRDefault="001763B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пробл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достигая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координируя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50ABD" w:rsidRPr="001763BD" w:rsidRDefault="001763B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0ABD" w:rsidRPr="001763BD" w:rsidRDefault="001763B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ставить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нимать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логику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763BD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агрегатные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газообразное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траектория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равнодействующая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деформация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пластическая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сообщающиеся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диффузия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инерция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вращения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скоростями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рычаги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выталкивающая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плечо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едини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Паскаля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Архимеда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рычага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«золотое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правило»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словесную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подставлять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реалистичность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проверяемое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показания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абсолютной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погрешности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движущегося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удлинения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глубины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рычага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блоков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выталкив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ающая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погруженное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искомой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динамометр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сообщающиеся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барометр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рычаг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подвижный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неподвижный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наклонная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характеризо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подшипники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водопровода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гидравлический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пресс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манометр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высотомер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поршневой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насос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ареометр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недостоверной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популярную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конспектирования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поставленными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агрегатные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кристаллические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аморфные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насыщенный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ненасыщенный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двигатель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элементарный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сжатие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теплопередача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смачивание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капиллярные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кристаллизация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отвердевание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теплопередача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теплопроводность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конвекция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короткое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индукция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натяжение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капиллярные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кристаллы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замерзание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водоемов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морские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бризы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тумана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инея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снега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атмосфере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дрейф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полюсов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сияние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теплоемкость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парооб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топлива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единицы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качественном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Джоуля–Ленца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словесную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проверяемое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предположение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капиллярные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остывания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нагревания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поглощающей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испарения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визуализация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носительной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датчиков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абсолютной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погрешности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поперечного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последо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вательного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параллельного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теплоемкость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вычисл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гигрометр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ровая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турбина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амперметр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вольтметр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счетчик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электроосветительные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нагревательные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предохранители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схемам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схематичным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рисункам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жидкостный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термос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психрометр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гигрометр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двигатель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электроскоп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стат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цепей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последовательным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параллельным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соединением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цепей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недостоверной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популярную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конспектирования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обобщая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поставленными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проявляя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D50ABD" w:rsidRPr="001763BD" w:rsidRDefault="001763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ектория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относительность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деформация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пластическая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центростремительное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инфразвук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ультразвук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близорукость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дальнозоркость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испускания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поглощения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альф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гамма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ядерная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энергетика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реактивное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колебательное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затухающие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вынужденные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резонанс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волновое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спектральных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цветов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дисперсия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линейч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демонстрирующих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приливы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отливы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реактивное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землетрясение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сейсмические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цунами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эхо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видимого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ультрафиолетового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рентгеновског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естественный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радиоактивный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космические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радиоактивное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минералов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радиоактивных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мгновенная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неравномерном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угловая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тяже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поднятого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сжатой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громкость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ывающие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тяготения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суперпо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зиции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относительности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Галилея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зарядового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ядерных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словесную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опирающиеся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избыточные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реалистичность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проверяемое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предположение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жесткости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амплитуды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зеркале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сплошных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линейчатых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спектров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избыточного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серию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измеряемой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фокусное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измерительного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жесткость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пружинного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маятников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радиоактивный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фон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proofErr w:type="gram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погрешности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точечный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тонкая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планетарная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нуклонная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атомного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спидометр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ракета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эхолот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очки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перископ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фотоаппарат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световоды</w:t>
      </w:r>
      <w:proofErr w:type="spellEnd"/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спектроскоп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дозиметр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камера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Вильсона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схематичные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оптические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зеркале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формулируя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поисковый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популярную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конспектирования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0ABD" w:rsidRPr="001763BD" w:rsidRDefault="001763BD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источ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1763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ABD" w:rsidRDefault="001763B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D50A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1887"/>
        <w:gridCol w:w="753"/>
        <w:gridCol w:w="1664"/>
        <w:gridCol w:w="1733"/>
        <w:gridCol w:w="3230"/>
      </w:tblGrid>
      <w:tr w:rsidR="00D50A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 w:rsidRPr="001763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роль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познании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окружающего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мира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lesson.academy-content.myschool.edu.ru/03/07</w:t>
            </w:r>
          </w:p>
        </w:tc>
      </w:tr>
      <w:tr w:rsidR="00D50ABD" w:rsidRPr="001763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 w:rsidRPr="001763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Первоначальные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строении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вещества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частиц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Агрегатные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 w:rsidRPr="001763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Движение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Инерция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плотность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 w:rsidRPr="001763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Давление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твердых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жидкостей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газов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Давление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давления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твердыми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телами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жидкостями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жидкости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погруженное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 w:rsidRPr="001763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мощность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Энергия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0A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"/>
        <w:gridCol w:w="2053"/>
        <w:gridCol w:w="751"/>
        <w:gridCol w:w="1642"/>
        <w:gridCol w:w="1711"/>
        <w:gridCol w:w="3118"/>
      </w:tblGrid>
      <w:tr w:rsidR="00D50A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Тепловые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явления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lesson.academy-content.myschool.edu.ru/03/08</w:t>
            </w:r>
          </w:p>
        </w:tc>
      </w:tr>
      <w:tr w:rsidR="00D50ABD" w:rsidRPr="001763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 w:rsidRPr="001763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Электрические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магнитные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явления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Электрические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заряды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Заряженные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индукция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0ABD" w:rsidRDefault="001763B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9-й </w:t>
      </w:r>
      <w:r>
        <w:rPr>
          <w:b/>
          <w:bCs/>
          <w:color w:val="252525"/>
          <w:spacing w:val="-2"/>
          <w:sz w:val="42"/>
          <w:szCs w:val="42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2060"/>
        <w:gridCol w:w="750"/>
        <w:gridCol w:w="1640"/>
        <w:gridCol w:w="1709"/>
        <w:gridCol w:w="3115"/>
      </w:tblGrid>
      <w:tr w:rsidR="00D50A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0ABD" w:rsidRDefault="00D50A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явления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Механическое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lesson.academy-content.myschool.edu.ru/03/09</w:t>
            </w:r>
          </w:p>
        </w:tc>
      </w:tr>
      <w:tr w:rsidR="00D50ABD" w:rsidRPr="001763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 w:rsidRPr="001763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Механические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колебания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волны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колебания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 w:rsidRPr="001763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Электромагнитное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электромагнитные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волны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Электромагнитное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Световые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явления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Разложение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белого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Квантовые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явления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Испускание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поглощение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атомом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ядра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Ядерные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Повторительно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обобщающий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</w:tr>
      <w:tr w:rsidR="00D50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Pr="001763BD" w:rsidRDefault="00176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1763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ABD" w:rsidRDefault="00D50A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763BD"/>
    <w:sectPr w:rsidR="00000000" w:rsidSect="001763BD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B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32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B56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07E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F5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E46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D5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32E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E7E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014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B0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A1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6D6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18D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B4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16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629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97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45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32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B831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F34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F0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72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A20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62E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B20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870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C2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27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979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38253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843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BF66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35E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41C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A31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251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0B6A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753B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E528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2C67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4005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D00F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C218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C274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4638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30"/>
  </w:num>
  <w:num w:numId="6">
    <w:abstractNumId w:val="5"/>
  </w:num>
  <w:num w:numId="7">
    <w:abstractNumId w:val="3"/>
  </w:num>
  <w:num w:numId="8">
    <w:abstractNumId w:val="41"/>
  </w:num>
  <w:num w:numId="9">
    <w:abstractNumId w:val="33"/>
  </w:num>
  <w:num w:numId="10">
    <w:abstractNumId w:val="26"/>
  </w:num>
  <w:num w:numId="11">
    <w:abstractNumId w:val="35"/>
  </w:num>
  <w:num w:numId="12">
    <w:abstractNumId w:val="9"/>
  </w:num>
  <w:num w:numId="13">
    <w:abstractNumId w:val="40"/>
  </w:num>
  <w:num w:numId="14">
    <w:abstractNumId w:val="22"/>
  </w:num>
  <w:num w:numId="15">
    <w:abstractNumId w:val="8"/>
  </w:num>
  <w:num w:numId="16">
    <w:abstractNumId w:val="38"/>
  </w:num>
  <w:num w:numId="17">
    <w:abstractNumId w:val="42"/>
  </w:num>
  <w:num w:numId="18">
    <w:abstractNumId w:val="46"/>
  </w:num>
  <w:num w:numId="19">
    <w:abstractNumId w:val="37"/>
  </w:num>
  <w:num w:numId="20">
    <w:abstractNumId w:val="47"/>
  </w:num>
  <w:num w:numId="21">
    <w:abstractNumId w:val="43"/>
  </w:num>
  <w:num w:numId="22">
    <w:abstractNumId w:val="45"/>
  </w:num>
  <w:num w:numId="23">
    <w:abstractNumId w:val="32"/>
  </w:num>
  <w:num w:numId="24">
    <w:abstractNumId w:val="36"/>
  </w:num>
  <w:num w:numId="25">
    <w:abstractNumId w:val="0"/>
  </w:num>
  <w:num w:numId="26">
    <w:abstractNumId w:val="31"/>
  </w:num>
  <w:num w:numId="27">
    <w:abstractNumId w:val="14"/>
  </w:num>
  <w:num w:numId="28">
    <w:abstractNumId w:val="10"/>
  </w:num>
  <w:num w:numId="29">
    <w:abstractNumId w:val="21"/>
  </w:num>
  <w:num w:numId="30">
    <w:abstractNumId w:val="34"/>
  </w:num>
  <w:num w:numId="31">
    <w:abstractNumId w:val="27"/>
  </w:num>
  <w:num w:numId="32">
    <w:abstractNumId w:val="2"/>
  </w:num>
  <w:num w:numId="33">
    <w:abstractNumId w:val="25"/>
  </w:num>
  <w:num w:numId="34">
    <w:abstractNumId w:val="44"/>
  </w:num>
  <w:num w:numId="35">
    <w:abstractNumId w:val="17"/>
  </w:num>
  <w:num w:numId="36">
    <w:abstractNumId w:val="16"/>
  </w:num>
  <w:num w:numId="37">
    <w:abstractNumId w:val="20"/>
  </w:num>
  <w:num w:numId="38">
    <w:abstractNumId w:val="18"/>
  </w:num>
  <w:num w:numId="39">
    <w:abstractNumId w:val="11"/>
  </w:num>
  <w:num w:numId="40">
    <w:abstractNumId w:val="23"/>
  </w:num>
  <w:num w:numId="41">
    <w:abstractNumId w:val="15"/>
  </w:num>
  <w:num w:numId="42">
    <w:abstractNumId w:val="1"/>
  </w:num>
  <w:num w:numId="43">
    <w:abstractNumId w:val="12"/>
  </w:num>
  <w:num w:numId="44">
    <w:abstractNumId w:val="19"/>
  </w:num>
  <w:num w:numId="45">
    <w:abstractNumId w:val="24"/>
  </w:num>
  <w:num w:numId="46">
    <w:abstractNumId w:val="39"/>
  </w:num>
  <w:num w:numId="47">
    <w:abstractNumId w:val="28"/>
  </w:num>
  <w:num w:numId="4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63BD"/>
    <w:rsid w:val="002D33B1"/>
    <w:rsid w:val="002D3591"/>
    <w:rsid w:val="003514A0"/>
    <w:rsid w:val="004F7E17"/>
    <w:rsid w:val="005A05CE"/>
    <w:rsid w:val="00653AF6"/>
    <w:rsid w:val="00B73A5A"/>
    <w:rsid w:val="00D50A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9345</Words>
  <Characters>53267</Characters>
  <Application>Microsoft Office Word</Application>
  <DocSecurity>0</DocSecurity>
  <Lines>443</Lines>
  <Paragraphs>124</Paragraphs>
  <ScaleCrop>false</ScaleCrop>
  <Company/>
  <LinksUpToDate>false</LinksUpToDate>
  <CharactersWithSpaces>62488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2023-10-22T23:21:00Z</dcterms:modified>
</cp:coreProperties>
</file>